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45EA1" w14:textId="77777777" w:rsidR="0006501F" w:rsidRDefault="0006501F" w:rsidP="00D3685B">
      <w:pPr>
        <w:shd w:val="clear" w:color="auto" w:fill="FFFFFF"/>
        <w:jc w:val="center"/>
        <w:rPr>
          <w:rFonts w:eastAsia="Times New Roman"/>
          <w:b/>
          <w:bCs/>
          <w:color w:val="1F1F1F"/>
          <w:szCs w:val="21"/>
          <w:shd w:val="clear" w:color="auto" w:fill="FFFFFF"/>
        </w:rPr>
      </w:pPr>
      <w:bookmarkStart w:id="0" w:name="_heading=h.kjhb6djejv4e" w:colFirst="0" w:colLast="0"/>
      <w:bookmarkStart w:id="1" w:name="_GoBack"/>
      <w:bookmarkEnd w:id="0"/>
      <w:bookmarkEnd w:id="1"/>
    </w:p>
    <w:p w14:paraId="789B712C" w14:textId="444FB375" w:rsidR="00D3685B" w:rsidRPr="00B4690C" w:rsidRDefault="00D3685B" w:rsidP="00D3685B">
      <w:pPr>
        <w:shd w:val="clear" w:color="auto" w:fill="FFFFFF"/>
        <w:jc w:val="center"/>
        <w:rPr>
          <w:rFonts w:eastAsia="Times New Roman"/>
          <w:b/>
          <w:bCs/>
          <w:color w:val="1F1F1F"/>
          <w:szCs w:val="21"/>
          <w:shd w:val="clear" w:color="auto" w:fill="FFFFFF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TEXTO DEFINITIVO APROBADO EN LA SESIÓN DE LA COMISIÓN TERCERA</w:t>
      </w:r>
    </w:p>
    <w:p w14:paraId="1CD0990C" w14:textId="77777777" w:rsidR="00D3685B" w:rsidRPr="00B4690C" w:rsidRDefault="00D3685B" w:rsidP="00D3685B">
      <w:pPr>
        <w:shd w:val="clear" w:color="auto" w:fill="FFFFFF"/>
        <w:jc w:val="center"/>
        <w:rPr>
          <w:rFonts w:eastAsia="Times New Roman"/>
          <w:b/>
          <w:bCs/>
          <w:color w:val="1F1F1F"/>
          <w:szCs w:val="21"/>
          <w:shd w:val="clear" w:color="auto" w:fill="FFFFFF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PERMANENTE DE HACIENDA Y CRÉDITO PÚBLICO</w:t>
      </w:r>
    </w:p>
    <w:p w14:paraId="098C216D" w14:textId="77777777" w:rsidR="00D3685B" w:rsidRPr="00B4690C" w:rsidRDefault="00D3685B" w:rsidP="00D3685B">
      <w:pPr>
        <w:shd w:val="clear" w:color="auto" w:fill="FFFFFF"/>
        <w:jc w:val="center"/>
        <w:rPr>
          <w:rFonts w:eastAsia="Times New Roman"/>
          <w:b/>
          <w:bCs/>
          <w:color w:val="1F1F1F"/>
          <w:szCs w:val="21"/>
          <w:shd w:val="clear" w:color="auto" w:fill="FFFFFF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REALIZADA EL DÍA MIERCOLES 03 DE SEPTIEMBRE DE 2025</w:t>
      </w:r>
    </w:p>
    <w:p w14:paraId="5FEB11B0" w14:textId="7CFF2E08" w:rsidR="00D3685B" w:rsidRDefault="00D3685B" w:rsidP="00D3685B">
      <w:pPr>
        <w:shd w:val="clear" w:color="auto" w:fill="FFFFFF"/>
        <w:jc w:val="center"/>
        <w:rPr>
          <w:rFonts w:eastAsia="Times New Roman"/>
          <w:color w:val="1F1F1F"/>
          <w:sz w:val="21"/>
          <w:szCs w:val="21"/>
        </w:rPr>
      </w:pPr>
    </w:p>
    <w:p w14:paraId="6495EBA7" w14:textId="667E6485" w:rsidR="007E3357" w:rsidRDefault="007E3357" w:rsidP="00D3685B">
      <w:pPr>
        <w:shd w:val="clear" w:color="auto" w:fill="FFFFFF"/>
        <w:jc w:val="center"/>
        <w:rPr>
          <w:rFonts w:eastAsia="Times New Roman"/>
          <w:color w:val="1F1F1F"/>
          <w:sz w:val="21"/>
          <w:szCs w:val="21"/>
        </w:rPr>
      </w:pPr>
    </w:p>
    <w:p w14:paraId="19E33004" w14:textId="77777777" w:rsidR="007E3357" w:rsidRPr="00C85037" w:rsidRDefault="007E3357" w:rsidP="00D3685B">
      <w:pPr>
        <w:shd w:val="clear" w:color="auto" w:fill="FFFFFF"/>
        <w:jc w:val="center"/>
        <w:rPr>
          <w:rFonts w:eastAsia="Times New Roman"/>
          <w:color w:val="1F1F1F"/>
          <w:sz w:val="21"/>
          <w:szCs w:val="21"/>
        </w:rPr>
      </w:pPr>
    </w:p>
    <w:p w14:paraId="420D71FF" w14:textId="3BB5B9EF" w:rsidR="00A20513" w:rsidRDefault="00A20513" w:rsidP="00A20513">
      <w:pPr>
        <w:jc w:val="center"/>
        <w:rPr>
          <w:rFonts w:eastAsia="Times New Roman"/>
          <w:b/>
          <w:bCs/>
          <w:color w:val="1F1F1F"/>
          <w:szCs w:val="21"/>
          <w:shd w:val="clear" w:color="auto" w:fill="FFFFFF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PROYECTO DE ACUERDO No. 652 DE 2025</w:t>
      </w:r>
    </w:p>
    <w:p w14:paraId="45AACD4E" w14:textId="44930E1D" w:rsidR="007E3357" w:rsidRDefault="007E3357" w:rsidP="00A20513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58915423" w14:textId="77777777" w:rsidR="007E3357" w:rsidRPr="00C85037" w:rsidRDefault="007E3357" w:rsidP="00A20513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18DB27F8" w14:textId="77777777" w:rsidR="00A20513" w:rsidRPr="00C85037" w:rsidRDefault="00A20513" w:rsidP="00A20513">
      <w:pPr>
        <w:shd w:val="clear" w:color="auto" w:fill="FFFFFF"/>
        <w:jc w:val="center"/>
        <w:rPr>
          <w:rFonts w:eastAsia="Times New Roman"/>
          <w:color w:val="1F1F1F"/>
          <w:szCs w:val="21"/>
        </w:rPr>
      </w:pPr>
    </w:p>
    <w:p w14:paraId="2A9910E3" w14:textId="77777777" w:rsidR="00A20513" w:rsidRPr="00C85037" w:rsidRDefault="00A20513" w:rsidP="00A20513">
      <w:pPr>
        <w:jc w:val="center"/>
        <w:rPr>
          <w:rFonts w:ascii="Times New Roman" w:eastAsia="Times New Roman" w:hAnsi="Times New Roman" w:cs="Times New Roman"/>
          <w:i/>
          <w:sz w:val="28"/>
        </w:rPr>
      </w:pPr>
      <w:r w:rsidRPr="00B4690C">
        <w:rPr>
          <w:rFonts w:eastAsia="Times New Roman"/>
          <w:b/>
          <w:bCs/>
          <w:i/>
          <w:color w:val="1F1F1F"/>
          <w:szCs w:val="21"/>
          <w:shd w:val="clear" w:color="auto" w:fill="FFFFFF"/>
        </w:rPr>
        <w:t xml:space="preserve">“POR EL CUAL SE BUSCA INCENTIVAR, IMPULSAR Y ESTABLECER CORREDORES TURÍSTICOS SEGUROS </w:t>
      </w:r>
      <w:r w:rsidRPr="00B4690C">
        <w:rPr>
          <w:rFonts w:eastAsia="Times New Roman"/>
          <w:b/>
          <w:bCs/>
          <w:i/>
          <w:szCs w:val="21"/>
          <w:shd w:val="clear" w:color="auto" w:fill="FFFFFF"/>
        </w:rPr>
        <w:t xml:space="preserve">DE </w:t>
      </w:r>
      <w:r w:rsidRPr="00B4690C">
        <w:rPr>
          <w:rFonts w:eastAsia="Times New Roman"/>
          <w:b/>
          <w:bCs/>
          <w:i/>
          <w:color w:val="1F1F1F"/>
          <w:szCs w:val="21"/>
          <w:shd w:val="clear" w:color="auto" w:fill="FFFFFF"/>
        </w:rPr>
        <w:t>BOGOTÁ D.C.”</w:t>
      </w:r>
    </w:p>
    <w:p w14:paraId="52C5FB5F" w14:textId="77777777" w:rsidR="00A20513" w:rsidRPr="00B4690C" w:rsidRDefault="00A20513" w:rsidP="00A20513">
      <w:pPr>
        <w:jc w:val="center"/>
        <w:rPr>
          <w:rFonts w:eastAsia="Times New Roman"/>
          <w:b/>
          <w:bCs/>
          <w:color w:val="1F1F1F"/>
          <w:szCs w:val="21"/>
          <w:shd w:val="clear" w:color="auto" w:fill="FFFFFF"/>
        </w:rPr>
      </w:pPr>
    </w:p>
    <w:p w14:paraId="10493CF6" w14:textId="77777777" w:rsidR="00A20513" w:rsidRPr="00B4690C" w:rsidRDefault="00A20513" w:rsidP="00A20513">
      <w:pPr>
        <w:jc w:val="center"/>
        <w:rPr>
          <w:rFonts w:eastAsia="Times New Roman"/>
          <w:b/>
          <w:bCs/>
          <w:color w:val="1F1F1F"/>
          <w:szCs w:val="21"/>
          <w:shd w:val="clear" w:color="auto" w:fill="FFFFFF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EL CONCEJO DE BOGOTÁ, D. C.,</w:t>
      </w:r>
    </w:p>
    <w:p w14:paraId="64B46DDA" w14:textId="77777777" w:rsidR="00A20513" w:rsidRPr="00B4690C" w:rsidRDefault="00A20513" w:rsidP="00A20513">
      <w:pPr>
        <w:jc w:val="center"/>
        <w:rPr>
          <w:b/>
          <w:bCs/>
          <w:szCs w:val="23"/>
        </w:rPr>
      </w:pPr>
    </w:p>
    <w:p w14:paraId="78E71EC8" w14:textId="77777777" w:rsidR="00A20513" w:rsidRPr="00B4690C" w:rsidRDefault="00A20513" w:rsidP="00A20513">
      <w:pPr>
        <w:jc w:val="center"/>
        <w:rPr>
          <w:rFonts w:eastAsia="Times New Roman"/>
          <w:color w:val="1F1F1F"/>
          <w:szCs w:val="21"/>
          <w:shd w:val="clear" w:color="auto" w:fill="FFFFFF"/>
        </w:rPr>
      </w:pPr>
      <w:r w:rsidRPr="00B4690C">
        <w:rPr>
          <w:rFonts w:eastAsia="Times New Roman"/>
          <w:color w:val="1F1F1F"/>
          <w:szCs w:val="21"/>
          <w:shd w:val="clear" w:color="auto" w:fill="FFFFFF"/>
        </w:rPr>
        <w:t>En ejercicio de sus facultades constitucionales y legales, en especial las conferidas por el artículo 12 numerales 1, 7 y 13 del Decreto Ley 1421 de 1993,</w:t>
      </w:r>
    </w:p>
    <w:p w14:paraId="48EEE9D9" w14:textId="77777777" w:rsidR="00A20513" w:rsidRPr="00B4690C" w:rsidRDefault="00A20513" w:rsidP="00A20513">
      <w:pPr>
        <w:rPr>
          <w:rFonts w:eastAsia="Times New Roman"/>
          <w:b/>
          <w:bCs/>
          <w:color w:val="1F1F1F"/>
          <w:szCs w:val="21"/>
          <w:shd w:val="clear" w:color="auto" w:fill="FFFFFF"/>
        </w:rPr>
      </w:pPr>
    </w:p>
    <w:p w14:paraId="108DFBCF" w14:textId="77777777" w:rsidR="00A20513" w:rsidRPr="00C85037" w:rsidRDefault="00A20513" w:rsidP="00A20513">
      <w:pPr>
        <w:jc w:val="center"/>
        <w:rPr>
          <w:rFonts w:ascii="Times New Roman" w:eastAsia="Times New Roman" w:hAnsi="Times New Roman" w:cs="Times New Roman"/>
          <w:sz w:val="28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ACUERDA:</w:t>
      </w:r>
    </w:p>
    <w:p w14:paraId="3201DCBD" w14:textId="77777777" w:rsidR="00A20513" w:rsidRPr="00C85037" w:rsidRDefault="00A20513" w:rsidP="00A20513">
      <w:pPr>
        <w:shd w:val="clear" w:color="auto" w:fill="FFFFFF"/>
        <w:rPr>
          <w:rFonts w:eastAsia="Times New Roman"/>
          <w:color w:val="1F1F1F"/>
          <w:szCs w:val="21"/>
        </w:rPr>
      </w:pPr>
    </w:p>
    <w:p w14:paraId="0C7DFC68" w14:textId="77777777" w:rsidR="00A20513" w:rsidRPr="00C85037" w:rsidRDefault="00A20513" w:rsidP="00A20513">
      <w:pPr>
        <w:jc w:val="both"/>
        <w:rPr>
          <w:rFonts w:ascii="Times New Roman" w:eastAsia="Times New Roman" w:hAnsi="Times New Roman" w:cs="Times New Roman"/>
          <w:sz w:val="28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ARTÍCULO 1. OBJETO.</w:t>
      </w:r>
      <w:r w:rsidRPr="00B4690C">
        <w:rPr>
          <w:rFonts w:eastAsia="Times New Roman"/>
          <w:color w:val="1F1F1F"/>
          <w:szCs w:val="21"/>
          <w:shd w:val="clear" w:color="auto" w:fill="FFFFFF"/>
        </w:rPr>
        <w:t> El presente acuerdo tiene por objeto incentivar, impulsar y establecer corredores turísticos seguros de Bogotá D.C.</w:t>
      </w:r>
    </w:p>
    <w:p w14:paraId="5848C8AB" w14:textId="77777777" w:rsidR="00A20513" w:rsidRPr="00C85037" w:rsidRDefault="00A20513" w:rsidP="00A20513">
      <w:pPr>
        <w:shd w:val="clear" w:color="auto" w:fill="FFFFFF"/>
        <w:rPr>
          <w:rFonts w:eastAsia="Times New Roman"/>
          <w:color w:val="1F1F1F"/>
          <w:szCs w:val="21"/>
        </w:rPr>
      </w:pPr>
    </w:p>
    <w:p w14:paraId="7B472C5F" w14:textId="4F3DA71B" w:rsidR="00A20513" w:rsidRPr="00C85037" w:rsidRDefault="00A20513" w:rsidP="00A20513">
      <w:pPr>
        <w:jc w:val="both"/>
        <w:rPr>
          <w:rFonts w:ascii="Times New Roman" w:eastAsia="Times New Roman" w:hAnsi="Times New Roman" w:cs="Times New Roman"/>
          <w:sz w:val="28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Parágrafo.</w:t>
      </w:r>
      <w:r w:rsidRPr="00B4690C">
        <w:rPr>
          <w:rFonts w:eastAsia="Times New Roman"/>
          <w:color w:val="1F1F1F"/>
          <w:szCs w:val="21"/>
          <w:shd w:val="clear" w:color="auto" w:fill="FFFFFF"/>
        </w:rPr>
        <w:t> Se entiende por corredores turísticos seguros, todas aquellas rutas urbanas y rurales, redes de turismo y espacios de potencial crecimiento turístico identificados por el</w:t>
      </w:r>
      <w:r w:rsidR="007E3357">
        <w:rPr>
          <w:rFonts w:eastAsia="Times New Roman"/>
          <w:color w:val="1F1F1F"/>
          <w:szCs w:val="21"/>
          <w:shd w:val="clear" w:color="auto" w:fill="FFFFFF"/>
        </w:rPr>
        <w:t xml:space="preserve"> </w:t>
      </w:r>
      <w:r w:rsidR="007E3357" w:rsidRPr="00B4690C">
        <w:rPr>
          <w:rFonts w:eastAsia="Times New Roman"/>
          <w:color w:val="1F1F1F"/>
          <w:szCs w:val="21"/>
          <w:shd w:val="clear" w:color="auto" w:fill="FFFFFF"/>
        </w:rPr>
        <w:t>Instituto Distrital De Turismo</w:t>
      </w:r>
      <w:r w:rsidRPr="00B4690C">
        <w:rPr>
          <w:rFonts w:eastAsia="Times New Roman"/>
          <w:color w:val="1F1F1F"/>
          <w:szCs w:val="21"/>
          <w:shd w:val="clear" w:color="auto" w:fill="FFFFFF"/>
        </w:rPr>
        <w:t xml:space="preserve"> IDT; los espacios de alto valor natural, cultural y comunitario.</w:t>
      </w:r>
    </w:p>
    <w:p w14:paraId="747E3A0F" w14:textId="77777777" w:rsidR="00A20513" w:rsidRPr="00C85037" w:rsidRDefault="00A20513" w:rsidP="00A20513">
      <w:pPr>
        <w:shd w:val="clear" w:color="auto" w:fill="FFFFFF"/>
        <w:rPr>
          <w:rFonts w:eastAsia="Times New Roman"/>
          <w:color w:val="1F1F1F"/>
          <w:szCs w:val="21"/>
        </w:rPr>
      </w:pPr>
    </w:p>
    <w:p w14:paraId="298653E7" w14:textId="77777777" w:rsidR="00A20513" w:rsidRPr="00C85037" w:rsidRDefault="00A20513" w:rsidP="00A20513">
      <w:pPr>
        <w:jc w:val="both"/>
        <w:rPr>
          <w:rFonts w:ascii="Times New Roman" w:eastAsia="Times New Roman" w:hAnsi="Times New Roman" w:cs="Times New Roman"/>
          <w:sz w:val="28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ARTÍCULO 2. LINEAMIENTOS:</w:t>
      </w:r>
      <w:r w:rsidRPr="00B4690C">
        <w:rPr>
          <w:rFonts w:eastAsia="Times New Roman"/>
          <w:color w:val="1F1F1F"/>
          <w:szCs w:val="21"/>
          <w:shd w:val="clear" w:color="auto" w:fill="FFFFFF"/>
        </w:rPr>
        <w:t> Con el fin de desarrollar una estrategia integral, la administración Distrital, según las competencias de sus entidades, desarrollará los siguientes lineamientos:</w:t>
      </w:r>
    </w:p>
    <w:p w14:paraId="214D818A" w14:textId="77777777" w:rsidR="00A20513" w:rsidRPr="00C85037" w:rsidRDefault="00A20513" w:rsidP="00A20513">
      <w:pPr>
        <w:shd w:val="clear" w:color="auto" w:fill="FFFFFF"/>
        <w:rPr>
          <w:rFonts w:eastAsia="Times New Roman"/>
          <w:color w:val="1F1F1F"/>
          <w:szCs w:val="21"/>
        </w:rPr>
      </w:pPr>
    </w:p>
    <w:p w14:paraId="356F3C96" w14:textId="77777777" w:rsidR="00A20513" w:rsidRPr="00C85037" w:rsidRDefault="00A20513" w:rsidP="00A20513">
      <w:pPr>
        <w:jc w:val="both"/>
        <w:rPr>
          <w:rFonts w:ascii="Times New Roman" w:eastAsia="Times New Roman" w:hAnsi="Times New Roman" w:cs="Times New Roman"/>
          <w:sz w:val="28"/>
        </w:rPr>
      </w:pPr>
      <w:r w:rsidRPr="00B4690C">
        <w:rPr>
          <w:rFonts w:eastAsia="Times New Roman"/>
          <w:color w:val="1F1F1F"/>
          <w:szCs w:val="21"/>
          <w:shd w:val="clear" w:color="auto" w:fill="FFFFFF"/>
        </w:rPr>
        <w:t>a) Promoción: Con el fin de incentivar el turismo en Bogotá D.C., el Instituto Distrital De Turismo (IDT) liderará iniciativas que permitan a la ciudad convertirse en uno de los principales destinos turísticos, enfocándolo en su diversidad cultural, gastronómica y el ecoturismo.</w:t>
      </w:r>
    </w:p>
    <w:p w14:paraId="07741BD7" w14:textId="77777777" w:rsidR="00A20513" w:rsidRPr="00C85037" w:rsidRDefault="00A20513" w:rsidP="00A20513">
      <w:pPr>
        <w:shd w:val="clear" w:color="auto" w:fill="FFFFFF"/>
        <w:rPr>
          <w:rFonts w:eastAsia="Times New Roman"/>
          <w:color w:val="1F1F1F"/>
          <w:szCs w:val="21"/>
        </w:rPr>
      </w:pPr>
    </w:p>
    <w:p w14:paraId="0C5CB650" w14:textId="77777777" w:rsidR="00A20513" w:rsidRPr="00C85037" w:rsidRDefault="00A20513" w:rsidP="00A20513">
      <w:pPr>
        <w:jc w:val="both"/>
        <w:rPr>
          <w:rFonts w:ascii="Times New Roman" w:eastAsia="Times New Roman" w:hAnsi="Times New Roman" w:cs="Times New Roman"/>
          <w:sz w:val="28"/>
        </w:rPr>
      </w:pPr>
      <w:r w:rsidRPr="00B4690C">
        <w:rPr>
          <w:rFonts w:eastAsia="Times New Roman"/>
          <w:color w:val="1F1F1F"/>
          <w:szCs w:val="21"/>
          <w:shd w:val="clear" w:color="auto" w:fill="FFFFFF"/>
        </w:rPr>
        <w:lastRenderedPageBreak/>
        <w:t>b) Adopción de Prácticas Sostenibles: La Administración Distrital desarrollará e implementará prácticas para un turismo sostenible, especialmente en lo referente al ecoturismo, cicloturismo y el turismo de naturaleza.</w:t>
      </w:r>
    </w:p>
    <w:p w14:paraId="5BCADF2C" w14:textId="77777777" w:rsidR="00A20513" w:rsidRPr="00C85037" w:rsidRDefault="00A20513" w:rsidP="00A20513">
      <w:pPr>
        <w:shd w:val="clear" w:color="auto" w:fill="FFFFFF"/>
        <w:rPr>
          <w:rFonts w:eastAsia="Times New Roman"/>
          <w:color w:val="1F1F1F"/>
          <w:szCs w:val="21"/>
        </w:rPr>
      </w:pPr>
    </w:p>
    <w:p w14:paraId="10E07919" w14:textId="77777777" w:rsidR="00A20513" w:rsidRPr="00C85037" w:rsidRDefault="00A20513" w:rsidP="00A20513">
      <w:pPr>
        <w:jc w:val="both"/>
        <w:rPr>
          <w:rFonts w:ascii="Times New Roman" w:eastAsia="Times New Roman" w:hAnsi="Times New Roman" w:cs="Times New Roman"/>
          <w:sz w:val="28"/>
        </w:rPr>
      </w:pPr>
      <w:r w:rsidRPr="00B4690C">
        <w:rPr>
          <w:rFonts w:eastAsia="Times New Roman"/>
          <w:color w:val="1F1F1F"/>
          <w:szCs w:val="21"/>
          <w:shd w:val="clear" w:color="auto" w:fill="FFFFFF"/>
        </w:rPr>
        <w:t>c) Prevención y Seguridad: Con el fin de garantizar un disfrute seguro para la oferta turística de la capital, la Secretaría Distrital de Seguridad, Convivencia y Justicia propenderá por una estrategia de corredores seguros para turistas y residentes, en coordinación con el IDT, alcaldías locales, sector privado y los operadores comunitarios locales, que garantice el disfrute de dichas actividades.</w:t>
      </w:r>
    </w:p>
    <w:p w14:paraId="0E926CF5" w14:textId="77777777" w:rsidR="00A20513" w:rsidRPr="00C85037" w:rsidRDefault="00A20513" w:rsidP="00A20513">
      <w:pPr>
        <w:shd w:val="clear" w:color="auto" w:fill="FFFFFF"/>
        <w:rPr>
          <w:rFonts w:eastAsia="Times New Roman"/>
          <w:color w:val="1F1F1F"/>
          <w:szCs w:val="21"/>
        </w:rPr>
      </w:pPr>
    </w:p>
    <w:p w14:paraId="226AA150" w14:textId="5E4B0F75" w:rsidR="00A20513" w:rsidRPr="00C85037" w:rsidRDefault="00A20513" w:rsidP="00A20513">
      <w:pPr>
        <w:jc w:val="both"/>
        <w:rPr>
          <w:rFonts w:ascii="Times New Roman" w:eastAsia="Times New Roman" w:hAnsi="Times New Roman" w:cs="Times New Roman"/>
          <w:sz w:val="28"/>
        </w:rPr>
      </w:pPr>
      <w:r w:rsidRPr="00B4690C">
        <w:rPr>
          <w:rFonts w:eastAsia="Times New Roman"/>
          <w:color w:val="1F1F1F"/>
          <w:szCs w:val="21"/>
          <w:shd w:val="clear" w:color="auto" w:fill="FFFFFF"/>
        </w:rPr>
        <w:t>d) Cooperación: La Administración Distrital coordinará sus acciones con los sectores privados que se vean inmersos en dicha iniciativa. Para ello, la Secretaría Distrital de Seguridad, Convivencia y Justicia y el IDT crearán mesas técnicas de turismo seguro a las cuales se invitará al sector privado, los operadores comunitarios locales y otras comunidades, junto a todas las entidades que hacen parte del presente acuerdo.</w:t>
      </w:r>
    </w:p>
    <w:p w14:paraId="6FBB3747" w14:textId="77777777" w:rsidR="00A20513" w:rsidRPr="00C85037" w:rsidRDefault="00A20513" w:rsidP="00A20513">
      <w:pPr>
        <w:shd w:val="clear" w:color="auto" w:fill="FFFFFF"/>
        <w:rPr>
          <w:rFonts w:eastAsia="Times New Roman"/>
          <w:color w:val="1F1F1F"/>
          <w:szCs w:val="21"/>
        </w:rPr>
      </w:pPr>
    </w:p>
    <w:p w14:paraId="7C4487FD" w14:textId="49EFC3F6" w:rsidR="00A20513" w:rsidRPr="00C85037" w:rsidRDefault="00A20513" w:rsidP="00A20513">
      <w:pPr>
        <w:jc w:val="both"/>
        <w:rPr>
          <w:rFonts w:ascii="Times New Roman" w:eastAsia="Times New Roman" w:hAnsi="Times New Roman" w:cs="Times New Roman"/>
          <w:sz w:val="28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ARTÍCULO 3. CORREDORES:</w:t>
      </w:r>
      <w:r w:rsidRPr="00B4690C">
        <w:rPr>
          <w:rFonts w:eastAsia="Times New Roman"/>
          <w:color w:val="1F1F1F"/>
          <w:szCs w:val="21"/>
          <w:shd w:val="clear" w:color="auto" w:fill="FFFFFF"/>
        </w:rPr>
        <w:t> El IDT definirá, articulará y determinará los corredores turísticos seguros, en el término de seis (6) meses contados a partir de la sanción y publicación de este acuerdo, para generar una estrategia intersectorial de los corredores ya definidos y los nuevos que se crean a partir de la implementación de este proyecto de acuerdo.</w:t>
      </w:r>
    </w:p>
    <w:p w14:paraId="6C21F602" w14:textId="77777777" w:rsidR="00A20513" w:rsidRPr="00C85037" w:rsidRDefault="00A20513" w:rsidP="00A20513">
      <w:pPr>
        <w:shd w:val="clear" w:color="auto" w:fill="FFFFFF"/>
        <w:rPr>
          <w:rFonts w:eastAsia="Times New Roman"/>
          <w:color w:val="1F1F1F"/>
          <w:szCs w:val="21"/>
        </w:rPr>
      </w:pPr>
    </w:p>
    <w:p w14:paraId="6DE7A9BA" w14:textId="134FE0B1" w:rsidR="00A20513" w:rsidRPr="00C85037" w:rsidRDefault="00A20513" w:rsidP="00A20513">
      <w:pPr>
        <w:jc w:val="both"/>
        <w:rPr>
          <w:rFonts w:ascii="Times New Roman" w:eastAsia="Times New Roman" w:hAnsi="Times New Roman" w:cs="Times New Roman"/>
          <w:sz w:val="28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Parágrafo. PRIORIZACIÓN:</w:t>
      </w:r>
      <w:r w:rsidRPr="00B4690C">
        <w:rPr>
          <w:rFonts w:eastAsia="Times New Roman"/>
          <w:color w:val="1F1F1F"/>
          <w:szCs w:val="21"/>
          <w:shd w:val="clear" w:color="auto" w:fill="FFFFFF"/>
        </w:rPr>
        <w:t xml:space="preserve"> En aras de priorizar los sectores para la creación de corredores turísticos, el IDT tendrá en cuenta zonas de alta afluencia, zonas con alta vulnerabilidad en seguridad y zonas de alta importancia cultural. Para las zonas de alta vulnerabilidad en seguridad, el IDT consultará a la Secretaría </w:t>
      </w:r>
      <w:r w:rsidR="0006501F">
        <w:rPr>
          <w:rFonts w:eastAsia="Times New Roman"/>
          <w:color w:val="1F1F1F"/>
          <w:szCs w:val="21"/>
          <w:shd w:val="clear" w:color="auto" w:fill="FFFFFF"/>
        </w:rPr>
        <w:t xml:space="preserve">Distrital </w:t>
      </w:r>
      <w:r w:rsidRPr="00B4690C">
        <w:rPr>
          <w:rFonts w:eastAsia="Times New Roman"/>
          <w:color w:val="1F1F1F"/>
          <w:szCs w:val="21"/>
          <w:shd w:val="clear" w:color="auto" w:fill="FFFFFF"/>
        </w:rPr>
        <w:t>de Seguridad</w:t>
      </w:r>
      <w:r w:rsidR="0006501F">
        <w:rPr>
          <w:rFonts w:eastAsia="Times New Roman"/>
          <w:color w:val="1F1F1F"/>
          <w:szCs w:val="21"/>
          <w:shd w:val="clear" w:color="auto" w:fill="FFFFFF"/>
        </w:rPr>
        <w:t xml:space="preserve"> Convivencia y </w:t>
      </w:r>
      <w:r w:rsidR="007E3357">
        <w:rPr>
          <w:rFonts w:eastAsia="Times New Roman"/>
          <w:color w:val="1F1F1F"/>
          <w:szCs w:val="21"/>
          <w:shd w:val="clear" w:color="auto" w:fill="FFFFFF"/>
        </w:rPr>
        <w:t xml:space="preserve">Justicia </w:t>
      </w:r>
      <w:r w:rsidR="007E3357" w:rsidRPr="00B4690C">
        <w:rPr>
          <w:rFonts w:eastAsia="Times New Roman"/>
          <w:color w:val="1F1F1F"/>
          <w:szCs w:val="21"/>
          <w:shd w:val="clear" w:color="auto" w:fill="FFFFFF"/>
        </w:rPr>
        <w:t>en</w:t>
      </w:r>
      <w:r w:rsidRPr="00B4690C">
        <w:rPr>
          <w:rFonts w:eastAsia="Times New Roman"/>
          <w:color w:val="1F1F1F"/>
          <w:szCs w:val="21"/>
          <w:shd w:val="clear" w:color="auto" w:fill="FFFFFF"/>
        </w:rPr>
        <w:t xml:space="preserve"> aras de determinar de forma técnica esos lugares.</w:t>
      </w:r>
    </w:p>
    <w:p w14:paraId="6B674046" w14:textId="77777777" w:rsidR="00A20513" w:rsidRPr="00C85037" w:rsidRDefault="00A20513" w:rsidP="00A20513">
      <w:pPr>
        <w:shd w:val="clear" w:color="auto" w:fill="FFFFFF"/>
        <w:rPr>
          <w:rFonts w:eastAsia="Times New Roman"/>
          <w:color w:val="1F1F1F"/>
          <w:szCs w:val="21"/>
        </w:rPr>
      </w:pPr>
    </w:p>
    <w:p w14:paraId="7319B96F" w14:textId="77777777" w:rsidR="00A20513" w:rsidRPr="00C85037" w:rsidRDefault="00A20513" w:rsidP="00A20513">
      <w:pPr>
        <w:jc w:val="both"/>
        <w:rPr>
          <w:rFonts w:ascii="Times New Roman" w:eastAsia="Times New Roman" w:hAnsi="Times New Roman" w:cs="Times New Roman"/>
          <w:sz w:val="28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ARTÍCULO 4. ESTRATEGIA DE SEGURIDAD:</w:t>
      </w:r>
      <w:r w:rsidRPr="00B4690C">
        <w:rPr>
          <w:rFonts w:eastAsia="Times New Roman"/>
          <w:color w:val="1F1F1F"/>
          <w:szCs w:val="21"/>
          <w:shd w:val="clear" w:color="auto" w:fill="FFFFFF"/>
        </w:rPr>
        <w:t> Para garantizar la seguridad de turistas y habitantes de la ciudad, la Secretaría Distrital de Seguridad, Convivencia y Justicia implementará programas para el disfrute de las zonas donde se concentren la oferta turística en Bogotá D.C.</w:t>
      </w:r>
    </w:p>
    <w:p w14:paraId="3CEBC8D7" w14:textId="77777777" w:rsidR="00A20513" w:rsidRPr="00C85037" w:rsidRDefault="00A20513" w:rsidP="00A20513">
      <w:pPr>
        <w:shd w:val="clear" w:color="auto" w:fill="FFFFFF"/>
        <w:rPr>
          <w:rFonts w:eastAsia="Times New Roman"/>
          <w:color w:val="1F1F1F"/>
          <w:szCs w:val="21"/>
        </w:rPr>
      </w:pPr>
    </w:p>
    <w:p w14:paraId="3C84C123" w14:textId="77777777" w:rsidR="00A20513" w:rsidRPr="00C85037" w:rsidRDefault="00A20513" w:rsidP="00A20513">
      <w:pPr>
        <w:jc w:val="both"/>
        <w:rPr>
          <w:rFonts w:ascii="Times New Roman" w:eastAsia="Times New Roman" w:hAnsi="Times New Roman" w:cs="Times New Roman"/>
          <w:sz w:val="28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Parágrafo:</w:t>
      </w:r>
      <w:r w:rsidRPr="00B4690C">
        <w:rPr>
          <w:rFonts w:eastAsia="Times New Roman"/>
          <w:color w:val="1F1F1F"/>
          <w:szCs w:val="21"/>
          <w:shd w:val="clear" w:color="auto" w:fill="FFFFFF"/>
        </w:rPr>
        <w:t> El Distrito garantizará que estos corredores turísticos seguros estén libres de explotación sexual Comercial de Niños, Niñas y Adolescentes (ESCNNA), y se impulse el sello 'ALTO AL ESCNNA'.</w:t>
      </w:r>
    </w:p>
    <w:p w14:paraId="4BF23E2C" w14:textId="77777777" w:rsidR="00A20513" w:rsidRPr="00C85037" w:rsidRDefault="00A20513" w:rsidP="00A20513">
      <w:pPr>
        <w:shd w:val="clear" w:color="auto" w:fill="FFFFFF"/>
        <w:rPr>
          <w:rFonts w:eastAsia="Times New Roman"/>
          <w:color w:val="1F1F1F"/>
          <w:szCs w:val="21"/>
        </w:rPr>
      </w:pPr>
    </w:p>
    <w:p w14:paraId="0D1E00CC" w14:textId="0E6168AC" w:rsidR="00A20513" w:rsidRDefault="00A20513" w:rsidP="007E3357">
      <w:pPr>
        <w:jc w:val="both"/>
        <w:rPr>
          <w:rFonts w:ascii="Times New Roman" w:eastAsia="Times New Roman" w:hAnsi="Times New Roman" w:cs="Times New Roman"/>
          <w:sz w:val="28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ARTÍCULO 5. INFORME:</w:t>
      </w:r>
      <w:r w:rsidRPr="00B4690C">
        <w:rPr>
          <w:rFonts w:eastAsia="Times New Roman"/>
          <w:color w:val="1F1F1F"/>
          <w:szCs w:val="21"/>
          <w:shd w:val="clear" w:color="auto" w:fill="FFFFFF"/>
        </w:rPr>
        <w:t xml:space="preserve"> El Instituto Distrital De Turismo (IDT) y la Secretaría Distrital de Seguridad, Convivencia y Justicia presentarán un informe anual sobre la </w:t>
      </w:r>
      <w:r w:rsidRPr="00B4690C">
        <w:rPr>
          <w:rFonts w:eastAsia="Times New Roman"/>
          <w:color w:val="1F1F1F"/>
          <w:szCs w:val="21"/>
          <w:shd w:val="clear" w:color="auto" w:fill="FFFFFF"/>
        </w:rPr>
        <w:lastRenderedPageBreak/>
        <w:t>implementación del presente acuerdo ante el Concejo Distrital de Bogotá. Este informe contendrá indicadores de seguridad turística, que previamente concertarán la secretaría de seguridad y el IDT.</w:t>
      </w:r>
    </w:p>
    <w:p w14:paraId="49F95358" w14:textId="77777777" w:rsidR="007E3357" w:rsidRPr="007E3357" w:rsidRDefault="007E3357" w:rsidP="007E3357">
      <w:pPr>
        <w:jc w:val="both"/>
        <w:rPr>
          <w:rFonts w:ascii="Times New Roman" w:eastAsia="Times New Roman" w:hAnsi="Times New Roman" w:cs="Times New Roman"/>
          <w:sz w:val="28"/>
        </w:rPr>
      </w:pPr>
    </w:p>
    <w:p w14:paraId="53113EB1" w14:textId="77777777" w:rsidR="00A20513" w:rsidRPr="00B4690C" w:rsidRDefault="00A20513" w:rsidP="00A20513">
      <w:pPr>
        <w:jc w:val="both"/>
        <w:rPr>
          <w:rFonts w:eastAsia="Times New Roman"/>
          <w:color w:val="1F1F1F"/>
          <w:szCs w:val="21"/>
          <w:shd w:val="clear" w:color="auto" w:fill="FFFFFF"/>
        </w:rPr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ARTÍCULO 6. VIGENCIA:</w:t>
      </w:r>
      <w:r w:rsidRPr="00B4690C">
        <w:rPr>
          <w:rFonts w:eastAsia="Times New Roman"/>
          <w:color w:val="1F1F1F"/>
          <w:szCs w:val="21"/>
          <w:shd w:val="clear" w:color="auto" w:fill="FFFFFF"/>
        </w:rPr>
        <w:t> El presente Acuerdo rige a partir de la fecha de su publicación.</w:t>
      </w:r>
    </w:p>
    <w:p w14:paraId="579EE910" w14:textId="77777777" w:rsidR="00A20513" w:rsidRPr="00B4690C" w:rsidRDefault="00A20513" w:rsidP="00A20513">
      <w:pPr>
        <w:jc w:val="both"/>
        <w:rPr>
          <w:rFonts w:ascii="Times New Roman" w:eastAsia="Times New Roman" w:hAnsi="Times New Roman" w:cs="Times New Roman"/>
          <w:sz w:val="28"/>
        </w:rPr>
      </w:pPr>
    </w:p>
    <w:p w14:paraId="10601237" w14:textId="77777777" w:rsidR="00A20513" w:rsidRPr="00C85037" w:rsidRDefault="00A20513" w:rsidP="00A20513">
      <w:pPr>
        <w:shd w:val="clear" w:color="auto" w:fill="FFFFFF"/>
        <w:rPr>
          <w:rFonts w:eastAsia="Times New Roman"/>
          <w:color w:val="1F1F1F"/>
          <w:szCs w:val="21"/>
        </w:rPr>
      </w:pPr>
    </w:p>
    <w:p w14:paraId="50A77D7B" w14:textId="0A726B8B" w:rsidR="00A20513" w:rsidRPr="00B4690C" w:rsidRDefault="00A20513" w:rsidP="00A20513">
      <w:pPr>
        <w:jc w:val="center"/>
      </w:pPr>
      <w:r w:rsidRPr="00B4690C">
        <w:rPr>
          <w:rFonts w:eastAsia="Times New Roman"/>
          <w:b/>
          <w:bCs/>
          <w:color w:val="1F1F1F"/>
          <w:szCs w:val="21"/>
          <w:shd w:val="clear" w:color="auto" w:fill="FFFFFF"/>
        </w:rPr>
        <w:t>PUBLÍQUESE, COMUNÍQUESE Y CÚMPLASE</w:t>
      </w:r>
    </w:p>
    <w:p w14:paraId="1CE639F6" w14:textId="3C8A27E9" w:rsidR="00914E02" w:rsidRDefault="00914E02" w:rsidP="009D54B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rFonts w:eastAsia="Times New Roman"/>
          <w:noProof/>
          <w:color w:val="1F1F1F"/>
          <w:szCs w:val="21"/>
          <w:lang w:val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61825C" wp14:editId="00078BC8">
                <wp:simplePos x="0" y="0"/>
                <wp:positionH relativeFrom="column">
                  <wp:posOffset>4207289</wp:posOffset>
                </wp:positionH>
                <wp:positionV relativeFrom="paragraph">
                  <wp:posOffset>5943268</wp:posOffset>
                </wp:positionV>
                <wp:extent cx="45719" cy="45719"/>
                <wp:effectExtent l="19050" t="19050" r="31115" b="31115"/>
                <wp:wrapNone/>
                <wp:docPr id="2" name="So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A3C6AEB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ol 2" o:spid="_x0000_s1026" type="#_x0000_t183" style="position:absolute;margin-left:331.3pt;margin-top:467.95pt;width:3.6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" fillcolor="#4f81bd [3204]" strokecolor="#243f60 [1604]" strokeweight="2pt"/>
            </w:pict>
          </mc:Fallback>
        </mc:AlternateContent>
      </w:r>
    </w:p>
    <w:p w14:paraId="54A6BA7A" w14:textId="77777777" w:rsidR="00914E02" w:rsidRPr="00914E02" w:rsidRDefault="00914E02" w:rsidP="00914E02"/>
    <w:p w14:paraId="67D3A422" w14:textId="77777777" w:rsidR="00914E02" w:rsidRPr="00914E02" w:rsidRDefault="00914E02" w:rsidP="00914E02"/>
    <w:p w14:paraId="41289965" w14:textId="77777777" w:rsidR="00914E02" w:rsidRPr="00914E02" w:rsidRDefault="00914E02" w:rsidP="00914E02"/>
    <w:p w14:paraId="66FB83E2" w14:textId="77777777" w:rsidR="00914E02" w:rsidRPr="00914E02" w:rsidRDefault="00914E02" w:rsidP="00914E02"/>
    <w:p w14:paraId="35CB9F76" w14:textId="77777777" w:rsidR="00914E02" w:rsidRPr="00914E02" w:rsidRDefault="00914E02" w:rsidP="00914E02"/>
    <w:p w14:paraId="2D848984" w14:textId="77777777" w:rsidR="00914E02" w:rsidRPr="00914E02" w:rsidRDefault="00914E02" w:rsidP="00914E02"/>
    <w:p w14:paraId="1A2356CD" w14:textId="77777777" w:rsidR="00914E02" w:rsidRPr="00914E02" w:rsidRDefault="00914E02" w:rsidP="00914E02"/>
    <w:p w14:paraId="1B29EE97" w14:textId="58C5BAE2" w:rsidR="00914E02" w:rsidRDefault="00914E02" w:rsidP="00914E02"/>
    <w:p w14:paraId="349F43B9" w14:textId="5CF5DEF5" w:rsidR="004D0443" w:rsidRPr="00914E02" w:rsidRDefault="00914E02" w:rsidP="00914E02">
      <w:pPr>
        <w:tabs>
          <w:tab w:val="left" w:pos="7801"/>
        </w:tabs>
      </w:pPr>
      <w:r>
        <w:tab/>
      </w:r>
    </w:p>
    <w:sectPr w:rsidR="004D0443" w:rsidRPr="00914E02" w:rsidSect="008723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20" w:right="144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AFDCF" w14:textId="77777777" w:rsidR="00620691" w:rsidRDefault="00620691">
      <w:r>
        <w:separator/>
      </w:r>
    </w:p>
  </w:endnote>
  <w:endnote w:type="continuationSeparator" w:id="0">
    <w:p w14:paraId="2C8F40B2" w14:textId="77777777" w:rsidR="00620691" w:rsidRDefault="00620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2D" w14:textId="77777777" w:rsidR="004D0443" w:rsidRDefault="00DA306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CE63A2E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2F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</w:p>
  <w:p w14:paraId="1CE63A30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</w:p>
  <w:p w14:paraId="1CE63A31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6"/>
        <w:szCs w:val="16"/>
      </w:rPr>
    </w:pPr>
  </w:p>
  <w:p w14:paraId="0F34F3AC" w14:textId="77777777" w:rsidR="0006501F" w:rsidRDefault="0006501F" w:rsidP="0006501F">
    <w:pPr>
      <w:pStyle w:val="Piedepgina"/>
      <w:ind w:right="51"/>
      <w:rPr>
        <w:sz w:val="16"/>
        <w:szCs w:val="16"/>
      </w:rPr>
    </w:pPr>
    <w:r>
      <w:rPr>
        <w:noProof/>
        <w:sz w:val="16"/>
        <w:szCs w:val="16"/>
        <w:lang w:val="es-CO"/>
      </w:rPr>
      <w:drawing>
        <wp:anchor distT="0" distB="0" distL="114300" distR="114300" simplePos="0" relativeHeight="251661312" behindDoc="1" locked="0" layoutInCell="1" allowOverlap="1" wp14:anchorId="1C10B072" wp14:editId="474DBDD6">
          <wp:simplePos x="0" y="0"/>
          <wp:positionH relativeFrom="column">
            <wp:posOffset>4285827</wp:posOffset>
          </wp:positionH>
          <wp:positionV relativeFrom="paragraph">
            <wp:posOffset>80010</wp:posOffset>
          </wp:positionV>
          <wp:extent cx="1209675" cy="7302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74CCCC" w14:textId="364EACE5" w:rsidR="0006501F" w:rsidRPr="00637271" w:rsidRDefault="00914E02" w:rsidP="0006501F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/>
      </w:rPr>
      <w:t xml:space="preserve"> </w:t>
    </w:r>
    <w:r w:rsidR="0006501F">
      <w:rPr>
        <w:noProof/>
        <w:lang w:val="es-CO"/>
      </w:rPr>
      <w:drawing>
        <wp:anchor distT="0" distB="0" distL="114300" distR="114300" simplePos="0" relativeHeight="251659264" behindDoc="1" locked="0" layoutInCell="1" allowOverlap="1" wp14:anchorId="0C788BF8" wp14:editId="079E58AD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E19A9C" w14:textId="716FED08" w:rsidR="0006501F" w:rsidRDefault="0006501F" w:rsidP="0006501F">
    <w:pPr>
      <w:jc w:val="center"/>
      <w:rPr>
        <w:sz w:val="16"/>
        <w:szCs w:val="16"/>
      </w:rPr>
    </w:pPr>
    <w:r w:rsidRPr="00637271">
      <w:rPr>
        <w:sz w:val="16"/>
        <w:szCs w:val="16"/>
      </w:rPr>
      <w:t xml:space="preserve">Página </w:t>
    </w:r>
    <w:r w:rsidRPr="00637271">
      <w:rPr>
        <w:sz w:val="16"/>
        <w:szCs w:val="16"/>
      </w:rPr>
      <w:fldChar w:fldCharType="begin"/>
    </w:r>
    <w:r w:rsidRPr="00637271">
      <w:rPr>
        <w:sz w:val="16"/>
        <w:szCs w:val="16"/>
      </w:rPr>
      <w:instrText>PAGE  \* Arabic  \* MERGEFORMAT</w:instrText>
    </w:r>
    <w:r w:rsidRPr="00637271">
      <w:rPr>
        <w:sz w:val="16"/>
        <w:szCs w:val="16"/>
      </w:rPr>
      <w:fldChar w:fldCharType="separate"/>
    </w:r>
    <w:r w:rsidR="006163F5">
      <w:rPr>
        <w:noProof/>
        <w:sz w:val="16"/>
        <w:szCs w:val="16"/>
      </w:rPr>
      <w:t>1</w:t>
    </w:r>
    <w:r w:rsidRPr="00637271">
      <w:rPr>
        <w:sz w:val="16"/>
        <w:szCs w:val="16"/>
      </w:rPr>
      <w:fldChar w:fldCharType="end"/>
    </w:r>
    <w:r w:rsidRPr="00637271">
      <w:rPr>
        <w:sz w:val="16"/>
        <w:szCs w:val="16"/>
      </w:rPr>
      <w:t xml:space="preserve"> de </w:t>
    </w:r>
    <w:r w:rsidRPr="00637271">
      <w:rPr>
        <w:sz w:val="16"/>
        <w:szCs w:val="16"/>
      </w:rPr>
      <w:fldChar w:fldCharType="begin"/>
    </w:r>
    <w:r w:rsidRPr="00637271">
      <w:rPr>
        <w:sz w:val="16"/>
        <w:szCs w:val="16"/>
      </w:rPr>
      <w:instrText>NUMPAGES  \* Arabic  \* MERGEFORMAT</w:instrText>
    </w:r>
    <w:r w:rsidRPr="00637271">
      <w:rPr>
        <w:sz w:val="16"/>
        <w:szCs w:val="16"/>
      </w:rPr>
      <w:fldChar w:fldCharType="separate"/>
    </w:r>
    <w:r w:rsidR="006163F5">
      <w:rPr>
        <w:noProof/>
        <w:sz w:val="16"/>
        <w:szCs w:val="16"/>
      </w:rPr>
      <w:t>3</w:t>
    </w:r>
    <w:r w:rsidRPr="00637271">
      <w:rPr>
        <w:sz w:val="16"/>
        <w:szCs w:val="16"/>
      </w:rPr>
      <w:fldChar w:fldCharType="end"/>
    </w:r>
  </w:p>
  <w:p w14:paraId="5DF506BF" w14:textId="77777777" w:rsidR="0006501F" w:rsidRPr="00B823F0" w:rsidRDefault="0006501F" w:rsidP="0006501F">
    <w:pPr>
      <w:ind w:left="284" w:firstLine="284"/>
      <w:jc w:val="center"/>
      <w:rPr>
        <w:sz w:val="16"/>
        <w:szCs w:val="16"/>
      </w:rPr>
    </w:pPr>
    <w:r>
      <w:rPr>
        <w:noProof/>
        <w:lang w:val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BCA56F" wp14:editId="40238331">
              <wp:simplePos x="0" y="0"/>
              <wp:positionH relativeFrom="column">
                <wp:posOffset>4457065</wp:posOffset>
              </wp:positionH>
              <wp:positionV relativeFrom="paragraph">
                <wp:posOffset>459105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A9AF84" w14:textId="77777777" w:rsidR="0006501F" w:rsidRPr="004D507F" w:rsidRDefault="0006501F" w:rsidP="0006501F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>
                            <w:rPr>
                              <w:sz w:val="15"/>
                              <w:szCs w:val="15"/>
                            </w:rPr>
                            <w:t>2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0BCA56F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36.1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O3MMi3hAAAACgEAAA8AAAAAAAAA&#10;AAAAAAAAjQQAAGRycy9kb3ducmV2LnhtbFBLBQYAAAAABAAEAPMAAACbBQAAAAA=&#10;" filled="f" stroked="f" strokeweight=".5pt">
              <v:textbox>
                <w:txbxContent>
                  <w:p w14:paraId="0CA9AF84" w14:textId="77777777" w:rsidR="0006501F" w:rsidRPr="004D507F" w:rsidRDefault="0006501F" w:rsidP="0006501F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>
                      <w:rPr>
                        <w:sz w:val="15"/>
                        <w:szCs w:val="15"/>
                      </w:rPr>
                      <w:t>2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1CE63A33" w14:textId="23448588" w:rsidR="004D0443" w:rsidRDefault="00914E0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6"/>
        <w:szCs w:val="16"/>
      </w:rPr>
    </w:pPr>
    <w:r>
      <w:rPr>
        <w:noProof/>
        <w:lang w:val="es-CO"/>
      </w:rPr>
      <w:drawing>
        <wp:inline distT="0" distB="0" distL="0" distR="0" wp14:anchorId="16C38AAD" wp14:editId="66ABC146">
          <wp:extent cx="73025" cy="73025"/>
          <wp:effectExtent l="0" t="0" r="3175" b="317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" cy="7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E63A34" w14:textId="77777777" w:rsidR="004D0443" w:rsidRDefault="004D0443">
    <w:pPr>
      <w:jc w:val="right"/>
      <w:rPr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ABC01" w14:textId="77777777" w:rsidR="00914E02" w:rsidRDefault="00914E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97FAA" w14:textId="77777777" w:rsidR="00620691" w:rsidRDefault="00620691">
      <w:r>
        <w:separator/>
      </w:r>
    </w:p>
  </w:footnote>
  <w:footnote w:type="continuationSeparator" w:id="0">
    <w:p w14:paraId="1BFB549C" w14:textId="77777777" w:rsidR="00620691" w:rsidRDefault="00620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ED02A" w14:textId="77777777" w:rsidR="00914E02" w:rsidRDefault="00914E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2C" w14:textId="55E06BED" w:rsidR="004D0443" w:rsidRPr="007E3357" w:rsidRDefault="007E3357" w:rsidP="007E335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rFonts w:ascii="Bookman Old Style" w:eastAsia="Bookman Old Style" w:hAnsi="Bookman Old Style" w:cs="Bookman Old Style"/>
        <w:sz w:val="20"/>
        <w:szCs w:val="20"/>
      </w:rPr>
    </w:pPr>
    <w:r>
      <w:rPr>
        <w:noProof/>
        <w:sz w:val="18"/>
        <w:szCs w:val="18"/>
        <w:lang w:val="es-CO"/>
      </w:rPr>
      <w:drawing>
        <wp:inline distT="0" distB="0" distL="0" distR="0" wp14:anchorId="279D621A" wp14:editId="5BC936E4">
          <wp:extent cx="1080000" cy="11059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99B44" w14:textId="77777777" w:rsidR="00914E02" w:rsidRDefault="00914E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059F5"/>
    <w:multiLevelType w:val="multilevel"/>
    <w:tmpl w:val="AD202C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B2530D6"/>
    <w:multiLevelType w:val="multilevel"/>
    <w:tmpl w:val="5BE023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EE341DA"/>
    <w:multiLevelType w:val="hybridMultilevel"/>
    <w:tmpl w:val="2CC02CFA"/>
    <w:lvl w:ilvl="0" w:tplc="BB564FB8">
      <w:start w:val="1"/>
      <w:numFmt w:val="upperLetter"/>
      <w:lvlText w:val="%1."/>
      <w:lvlJc w:val="left"/>
      <w:pPr>
        <w:ind w:left="9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es-ES" w:eastAsia="en-US" w:bidi="ar-SA"/>
      </w:rPr>
    </w:lvl>
    <w:lvl w:ilvl="1" w:tplc="C5AE4E38">
      <w:numFmt w:val="bullet"/>
      <w:lvlText w:val="•"/>
      <w:lvlJc w:val="left"/>
      <w:pPr>
        <w:ind w:left="1818" w:hanging="361"/>
      </w:pPr>
      <w:rPr>
        <w:rFonts w:hint="default"/>
        <w:lang w:val="es-ES" w:eastAsia="en-US" w:bidi="ar-SA"/>
      </w:rPr>
    </w:lvl>
    <w:lvl w:ilvl="2" w:tplc="384C4866">
      <w:numFmt w:val="bullet"/>
      <w:lvlText w:val="•"/>
      <w:lvlJc w:val="left"/>
      <w:pPr>
        <w:ind w:left="2656" w:hanging="361"/>
      </w:pPr>
      <w:rPr>
        <w:rFonts w:hint="default"/>
        <w:lang w:val="es-ES" w:eastAsia="en-US" w:bidi="ar-SA"/>
      </w:rPr>
    </w:lvl>
    <w:lvl w:ilvl="3" w:tplc="BED8F58A">
      <w:numFmt w:val="bullet"/>
      <w:lvlText w:val="•"/>
      <w:lvlJc w:val="left"/>
      <w:pPr>
        <w:ind w:left="3494" w:hanging="361"/>
      </w:pPr>
      <w:rPr>
        <w:rFonts w:hint="default"/>
        <w:lang w:val="es-ES" w:eastAsia="en-US" w:bidi="ar-SA"/>
      </w:rPr>
    </w:lvl>
    <w:lvl w:ilvl="4" w:tplc="69763BBE">
      <w:numFmt w:val="bullet"/>
      <w:lvlText w:val="•"/>
      <w:lvlJc w:val="left"/>
      <w:pPr>
        <w:ind w:left="4332" w:hanging="361"/>
      </w:pPr>
      <w:rPr>
        <w:rFonts w:hint="default"/>
        <w:lang w:val="es-ES" w:eastAsia="en-US" w:bidi="ar-SA"/>
      </w:rPr>
    </w:lvl>
    <w:lvl w:ilvl="5" w:tplc="7630AA76">
      <w:numFmt w:val="bullet"/>
      <w:lvlText w:val="•"/>
      <w:lvlJc w:val="left"/>
      <w:pPr>
        <w:ind w:left="5170" w:hanging="361"/>
      </w:pPr>
      <w:rPr>
        <w:rFonts w:hint="default"/>
        <w:lang w:val="es-ES" w:eastAsia="en-US" w:bidi="ar-SA"/>
      </w:rPr>
    </w:lvl>
    <w:lvl w:ilvl="6" w:tplc="1DC09A94">
      <w:numFmt w:val="bullet"/>
      <w:lvlText w:val="•"/>
      <w:lvlJc w:val="left"/>
      <w:pPr>
        <w:ind w:left="6008" w:hanging="361"/>
      </w:pPr>
      <w:rPr>
        <w:rFonts w:hint="default"/>
        <w:lang w:val="es-ES" w:eastAsia="en-US" w:bidi="ar-SA"/>
      </w:rPr>
    </w:lvl>
    <w:lvl w:ilvl="7" w:tplc="C658CE04">
      <w:numFmt w:val="bullet"/>
      <w:lvlText w:val="•"/>
      <w:lvlJc w:val="left"/>
      <w:pPr>
        <w:ind w:left="6846" w:hanging="361"/>
      </w:pPr>
      <w:rPr>
        <w:rFonts w:hint="default"/>
        <w:lang w:val="es-ES" w:eastAsia="en-US" w:bidi="ar-SA"/>
      </w:rPr>
    </w:lvl>
    <w:lvl w:ilvl="8" w:tplc="E5FEDF1E">
      <w:numFmt w:val="bullet"/>
      <w:lvlText w:val="•"/>
      <w:lvlJc w:val="left"/>
      <w:pPr>
        <w:ind w:left="7684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46F3240F"/>
    <w:multiLevelType w:val="multilevel"/>
    <w:tmpl w:val="38A0CC2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411208E"/>
    <w:multiLevelType w:val="hybridMultilevel"/>
    <w:tmpl w:val="508A1F14"/>
    <w:lvl w:ilvl="0" w:tplc="8E3E511C">
      <w:start w:val="1"/>
      <w:numFmt w:val="upperLetter"/>
      <w:lvlText w:val="%1."/>
      <w:lvlJc w:val="left"/>
      <w:pPr>
        <w:ind w:left="9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es-ES" w:eastAsia="en-US" w:bidi="ar-SA"/>
      </w:rPr>
    </w:lvl>
    <w:lvl w:ilvl="1" w:tplc="2C5E767C">
      <w:numFmt w:val="bullet"/>
      <w:lvlText w:val="•"/>
      <w:lvlJc w:val="left"/>
      <w:pPr>
        <w:ind w:left="1818" w:hanging="361"/>
      </w:pPr>
      <w:rPr>
        <w:rFonts w:hint="default"/>
        <w:lang w:val="es-ES" w:eastAsia="en-US" w:bidi="ar-SA"/>
      </w:rPr>
    </w:lvl>
    <w:lvl w:ilvl="2" w:tplc="D37CF61A">
      <w:numFmt w:val="bullet"/>
      <w:lvlText w:val="•"/>
      <w:lvlJc w:val="left"/>
      <w:pPr>
        <w:ind w:left="2656" w:hanging="361"/>
      </w:pPr>
      <w:rPr>
        <w:rFonts w:hint="default"/>
        <w:lang w:val="es-ES" w:eastAsia="en-US" w:bidi="ar-SA"/>
      </w:rPr>
    </w:lvl>
    <w:lvl w:ilvl="3" w:tplc="F45AA688">
      <w:numFmt w:val="bullet"/>
      <w:lvlText w:val="•"/>
      <w:lvlJc w:val="left"/>
      <w:pPr>
        <w:ind w:left="3494" w:hanging="361"/>
      </w:pPr>
      <w:rPr>
        <w:rFonts w:hint="default"/>
        <w:lang w:val="es-ES" w:eastAsia="en-US" w:bidi="ar-SA"/>
      </w:rPr>
    </w:lvl>
    <w:lvl w:ilvl="4" w:tplc="20DE55CA">
      <w:numFmt w:val="bullet"/>
      <w:lvlText w:val="•"/>
      <w:lvlJc w:val="left"/>
      <w:pPr>
        <w:ind w:left="4332" w:hanging="361"/>
      </w:pPr>
      <w:rPr>
        <w:rFonts w:hint="default"/>
        <w:lang w:val="es-ES" w:eastAsia="en-US" w:bidi="ar-SA"/>
      </w:rPr>
    </w:lvl>
    <w:lvl w:ilvl="5" w:tplc="900EFDA0">
      <w:numFmt w:val="bullet"/>
      <w:lvlText w:val="•"/>
      <w:lvlJc w:val="left"/>
      <w:pPr>
        <w:ind w:left="5170" w:hanging="361"/>
      </w:pPr>
      <w:rPr>
        <w:rFonts w:hint="default"/>
        <w:lang w:val="es-ES" w:eastAsia="en-US" w:bidi="ar-SA"/>
      </w:rPr>
    </w:lvl>
    <w:lvl w:ilvl="6" w:tplc="87F2DE70">
      <w:numFmt w:val="bullet"/>
      <w:lvlText w:val="•"/>
      <w:lvlJc w:val="left"/>
      <w:pPr>
        <w:ind w:left="6008" w:hanging="361"/>
      </w:pPr>
      <w:rPr>
        <w:rFonts w:hint="default"/>
        <w:lang w:val="es-ES" w:eastAsia="en-US" w:bidi="ar-SA"/>
      </w:rPr>
    </w:lvl>
    <w:lvl w:ilvl="7" w:tplc="2E909536">
      <w:numFmt w:val="bullet"/>
      <w:lvlText w:val="•"/>
      <w:lvlJc w:val="left"/>
      <w:pPr>
        <w:ind w:left="6846" w:hanging="361"/>
      </w:pPr>
      <w:rPr>
        <w:rFonts w:hint="default"/>
        <w:lang w:val="es-ES" w:eastAsia="en-US" w:bidi="ar-SA"/>
      </w:rPr>
    </w:lvl>
    <w:lvl w:ilvl="8" w:tplc="D5C0DEEC">
      <w:numFmt w:val="bullet"/>
      <w:lvlText w:val="•"/>
      <w:lvlJc w:val="left"/>
      <w:pPr>
        <w:ind w:left="7684" w:hanging="361"/>
      </w:pPr>
      <w:rPr>
        <w:rFonts w:hint="default"/>
        <w:lang w:val="es-ES" w:eastAsia="en-US" w:bidi="ar-SA"/>
      </w:rPr>
    </w:lvl>
  </w:abstractNum>
  <w:abstractNum w:abstractNumId="5" w15:restartNumberingAfterBreak="0">
    <w:nsid w:val="6CCB6DB1"/>
    <w:multiLevelType w:val="hybridMultilevel"/>
    <w:tmpl w:val="67B027D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43"/>
    <w:rsid w:val="000414C1"/>
    <w:rsid w:val="0006501F"/>
    <w:rsid w:val="0009008E"/>
    <w:rsid w:val="000E63D8"/>
    <w:rsid w:val="001526A9"/>
    <w:rsid w:val="00331F10"/>
    <w:rsid w:val="00383157"/>
    <w:rsid w:val="003D176C"/>
    <w:rsid w:val="003E1864"/>
    <w:rsid w:val="004021AA"/>
    <w:rsid w:val="004A29ED"/>
    <w:rsid w:val="004B7125"/>
    <w:rsid w:val="004D0443"/>
    <w:rsid w:val="005D1EBD"/>
    <w:rsid w:val="006163F5"/>
    <w:rsid w:val="00620691"/>
    <w:rsid w:val="006321D3"/>
    <w:rsid w:val="00635C07"/>
    <w:rsid w:val="006763A5"/>
    <w:rsid w:val="007333AA"/>
    <w:rsid w:val="00795DEE"/>
    <w:rsid w:val="007E3357"/>
    <w:rsid w:val="008723BD"/>
    <w:rsid w:val="008D20E0"/>
    <w:rsid w:val="00914E02"/>
    <w:rsid w:val="009851AA"/>
    <w:rsid w:val="009C472A"/>
    <w:rsid w:val="009D54BD"/>
    <w:rsid w:val="00A20513"/>
    <w:rsid w:val="00A765E5"/>
    <w:rsid w:val="00AB591A"/>
    <w:rsid w:val="00AB5DE9"/>
    <w:rsid w:val="00AE012B"/>
    <w:rsid w:val="00AE6D55"/>
    <w:rsid w:val="00AF6941"/>
    <w:rsid w:val="00B02928"/>
    <w:rsid w:val="00B21F7F"/>
    <w:rsid w:val="00C6503D"/>
    <w:rsid w:val="00C95019"/>
    <w:rsid w:val="00D3685B"/>
    <w:rsid w:val="00D40900"/>
    <w:rsid w:val="00D60025"/>
    <w:rsid w:val="00D6679F"/>
    <w:rsid w:val="00DA3067"/>
    <w:rsid w:val="00DE0C0D"/>
    <w:rsid w:val="00E01BF5"/>
    <w:rsid w:val="00E15EED"/>
    <w:rsid w:val="00EB102C"/>
    <w:rsid w:val="00F20154"/>
    <w:rsid w:val="00FC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E637B8"/>
  <w15:docId w15:val="{7C3F68D0-CD3E-4333-9119-E4652098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outlineLvl w:val="1"/>
    </w:pPr>
    <w:rPr>
      <w:rFonts w:ascii="Times New Roman" w:eastAsia="Times New Roman" w:hAnsi="Times New Roman" w:cs="Times New Roman"/>
      <w:color w:val="00000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00"/>
      <w:outlineLvl w:val="4"/>
    </w:pPr>
    <w:rPr>
      <w:rFonts w:ascii="Cambria" w:eastAsia="Cambria" w:hAnsi="Cambria" w:cs="Cambria"/>
      <w:color w:val="243F60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734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734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57344"/>
  </w:style>
  <w:style w:type="paragraph" w:styleId="Encabezado">
    <w:name w:val="header"/>
    <w:basedOn w:val="Normal"/>
    <w:link w:val="EncabezadoCar"/>
    <w:uiPriority w:val="99"/>
    <w:unhideWhenUsed/>
    <w:rsid w:val="005240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40A3"/>
  </w:style>
  <w:style w:type="paragraph" w:styleId="Piedepgina">
    <w:name w:val="footer"/>
    <w:basedOn w:val="Normal"/>
    <w:link w:val="PiedepginaCar"/>
    <w:uiPriority w:val="99"/>
    <w:unhideWhenUsed/>
    <w:rsid w:val="005240A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40A3"/>
  </w:style>
  <w:style w:type="table" w:customStyle="1" w:styleId="a0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c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2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3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9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a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b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c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d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e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E0C0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E0C0D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rrafodelista">
    <w:name w:val="List Paragraph"/>
    <w:aliases w:val="Ha,Resume Title,LISTA,List1,Bullet List,FooterText,numbered,List Paragraph1,Paragraphe de liste1,lp1,HOJA,Colorful List Accent 1,Colorful List - Accent 11,titulo 3,Colorful List - Accent 111,Bullets,Párrafo de lista2"/>
    <w:basedOn w:val="Normal"/>
    <w:link w:val="PrrafodelistaCar"/>
    <w:uiPriority w:val="34"/>
    <w:qFormat/>
    <w:rsid w:val="00DE0C0D"/>
    <w:pPr>
      <w:widowControl w:val="0"/>
      <w:autoSpaceDE w:val="0"/>
      <w:autoSpaceDN w:val="0"/>
      <w:ind w:left="978" w:hanging="361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rrafodelistaCar">
    <w:name w:val="Párrafo de lista Car"/>
    <w:aliases w:val="Ha Car,Resume Title Car,LISTA Car,List1 Car,Bullet List Car,FooterText Car,numbered Car,List Paragraph1 Car,Paragraphe de liste1 Car,lp1 Car,HOJA Car,Colorful List Accent 1 Car,Colorful List - Accent 11 Car,titulo 3 Car,Bullets Car"/>
    <w:basedOn w:val="Fuentedeprrafopredeter"/>
    <w:link w:val="Prrafodelista"/>
    <w:uiPriority w:val="34"/>
    <w:qFormat/>
    <w:locked/>
    <w:rsid w:val="004A29ED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Default">
    <w:name w:val="Default"/>
    <w:rsid w:val="00A765E5"/>
    <w:pPr>
      <w:autoSpaceDE w:val="0"/>
      <w:autoSpaceDN w:val="0"/>
      <w:adjustRightInd w:val="0"/>
    </w:pPr>
    <w:rPr>
      <w:color w:val="00000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8whUjh0MVDqEYABzlKG2WvzYZg==">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SERGIO ALEXANDER MARTINEZ LOPEZ</dc:creator>
  <cp:lastModifiedBy>MORRISON TARQUINO DAZA</cp:lastModifiedBy>
  <cp:revision>2</cp:revision>
  <cp:lastPrinted>2025-09-05T12:08:00Z</cp:lastPrinted>
  <dcterms:created xsi:type="dcterms:W3CDTF">2025-09-05T15:29:00Z</dcterms:created>
  <dcterms:modified xsi:type="dcterms:W3CDTF">2025-09-05T15:29:00Z</dcterms:modified>
</cp:coreProperties>
</file>